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CB" w:rsidRPr="00483339" w:rsidRDefault="000248CB" w:rsidP="00E4041E">
      <w:pPr>
        <w:pStyle w:val="Header"/>
        <w:rPr>
          <w:b/>
          <w:sz w:val="28"/>
          <w:szCs w:val="28"/>
        </w:rPr>
      </w:pPr>
      <w:bookmarkStart w:id="0" w:name="_GoBack"/>
      <w:bookmarkEnd w:id="0"/>
      <w:r w:rsidRPr="00483339">
        <w:rPr>
          <w:b/>
          <w:sz w:val="28"/>
          <w:szCs w:val="28"/>
        </w:rPr>
        <w:t xml:space="preserve">GUIDELINES </w:t>
      </w:r>
      <w:r w:rsidR="00B14189" w:rsidRPr="00483339">
        <w:rPr>
          <w:b/>
          <w:sz w:val="28"/>
          <w:szCs w:val="28"/>
        </w:rPr>
        <w:t>ON</w:t>
      </w:r>
      <w:r w:rsidRPr="00483339">
        <w:rPr>
          <w:b/>
          <w:sz w:val="28"/>
          <w:szCs w:val="28"/>
        </w:rPr>
        <w:t xml:space="preserve"> </w:t>
      </w:r>
      <w:r w:rsidR="00E97D6B">
        <w:rPr>
          <w:b/>
          <w:sz w:val="28"/>
          <w:szCs w:val="28"/>
        </w:rPr>
        <w:t>LUCKY DRAW</w:t>
      </w:r>
      <w:r w:rsidRPr="00483339">
        <w:rPr>
          <w:b/>
          <w:sz w:val="28"/>
          <w:szCs w:val="28"/>
        </w:rPr>
        <w:t xml:space="preserve"> FOR </w:t>
      </w:r>
    </w:p>
    <w:p w:rsidR="000248CB" w:rsidRPr="003974DF" w:rsidRDefault="000248CB" w:rsidP="00E4041E">
      <w:pPr>
        <w:pStyle w:val="Header"/>
      </w:pPr>
      <w:r w:rsidRPr="00483339">
        <w:rPr>
          <w:b/>
          <w:sz w:val="28"/>
          <w:szCs w:val="28"/>
        </w:rPr>
        <w:t xml:space="preserve">RECRUITMENT OF </w:t>
      </w:r>
      <w:r w:rsidR="00E97D6B" w:rsidRPr="003974DF">
        <w:rPr>
          <w:b/>
          <w:sz w:val="28"/>
          <w:szCs w:val="28"/>
        </w:rPr>
        <w:t>RESEARCH PARTICIPANTS</w:t>
      </w:r>
      <w:r w:rsidR="00794BD0" w:rsidRPr="003974DF">
        <w:rPr>
          <w:b/>
          <w:sz w:val="28"/>
          <w:szCs w:val="28"/>
        </w:rPr>
        <w:t xml:space="preserve"> </w:t>
      </w:r>
    </w:p>
    <w:p w:rsidR="00C47796" w:rsidRPr="00823466" w:rsidRDefault="0083437D" w:rsidP="00C47796">
      <w:pPr>
        <w:ind w:right="425"/>
        <w:rPr>
          <w:sz w:val="20"/>
          <w:lang w:val="en-SG"/>
        </w:rPr>
      </w:pPr>
      <w:r w:rsidRPr="00823466">
        <w:rPr>
          <w:rFonts w:cs="Arial"/>
          <w:sz w:val="20"/>
        </w:rPr>
        <w:t>(</w:t>
      </w:r>
      <w:r w:rsidRPr="00823466">
        <w:rPr>
          <w:sz w:val="20"/>
        </w:rPr>
        <w:t>For Social</w:t>
      </w:r>
      <w:r w:rsidR="001C21DF">
        <w:rPr>
          <w:sz w:val="20"/>
        </w:rPr>
        <w:t>,</w:t>
      </w:r>
      <w:r w:rsidRPr="00823466">
        <w:rPr>
          <w:sz w:val="20"/>
        </w:rPr>
        <w:t xml:space="preserve"> Behavioural and Educational Research (SBER) studies</w:t>
      </w:r>
      <w:r w:rsidR="003974DF" w:rsidRPr="00823466">
        <w:rPr>
          <w:rFonts w:cs="Arial"/>
          <w:sz w:val="20"/>
        </w:rPr>
        <w:t>)</w:t>
      </w:r>
      <w:r w:rsidR="00C47796" w:rsidRPr="00823466">
        <w:rPr>
          <w:sz w:val="20"/>
          <w:lang w:val="en-SG"/>
        </w:rPr>
        <w:t xml:space="preserve"> </w:t>
      </w:r>
    </w:p>
    <w:p w:rsidR="00250817" w:rsidRPr="005D78F4" w:rsidRDefault="00250817" w:rsidP="00C47796">
      <w:pPr>
        <w:ind w:right="425"/>
        <w:rPr>
          <w:sz w:val="14"/>
          <w:lang w:val="en-SG"/>
        </w:rPr>
      </w:pPr>
    </w:p>
    <w:p w:rsidR="00250817" w:rsidRPr="00823466" w:rsidRDefault="00250817" w:rsidP="00C47796">
      <w:pPr>
        <w:ind w:right="425"/>
        <w:rPr>
          <w:sz w:val="20"/>
          <w:lang w:val="en-SG"/>
        </w:rPr>
      </w:pPr>
      <w:r w:rsidRPr="00823466">
        <w:rPr>
          <w:sz w:val="20"/>
          <w:lang w:val="en-SG"/>
        </w:rPr>
        <w:t xml:space="preserve">Approved by the </w:t>
      </w:r>
      <w:r w:rsidR="00140EA8">
        <w:rPr>
          <w:sz w:val="20"/>
          <w:lang w:val="en-SG"/>
        </w:rPr>
        <w:t>NUS-</w:t>
      </w:r>
      <w:r w:rsidRPr="00823466">
        <w:rPr>
          <w:sz w:val="20"/>
          <w:lang w:val="en-SG"/>
        </w:rPr>
        <w:t xml:space="preserve">IRB on </w:t>
      </w:r>
      <w:r w:rsidR="001F0DB5">
        <w:rPr>
          <w:sz w:val="20"/>
          <w:lang w:val="en-SG"/>
        </w:rPr>
        <w:t>4 July 2013</w:t>
      </w:r>
      <w:r w:rsidR="002F653D">
        <w:rPr>
          <w:sz w:val="20"/>
          <w:lang w:val="en-SG"/>
        </w:rPr>
        <w:t>.</w:t>
      </w:r>
    </w:p>
    <w:p w:rsidR="000248CB" w:rsidRPr="005D78F4" w:rsidRDefault="000248CB" w:rsidP="00C47796">
      <w:pPr>
        <w:pStyle w:val="Header"/>
        <w:pBdr>
          <w:bottom w:val="single" w:sz="12" w:space="0" w:color="auto"/>
        </w:pBdr>
        <w:rPr>
          <w:rFonts w:cs="Arial"/>
          <w:sz w:val="6"/>
        </w:rPr>
      </w:pPr>
    </w:p>
    <w:p w:rsidR="000248CB" w:rsidRPr="005D78F4" w:rsidRDefault="000248CB">
      <w:pPr>
        <w:jc w:val="both"/>
        <w:rPr>
          <w:rFonts w:cs="Arial"/>
          <w:sz w:val="16"/>
          <w:szCs w:val="22"/>
        </w:rPr>
      </w:pPr>
    </w:p>
    <w:p w:rsidR="00AB419D" w:rsidRPr="005D78F4" w:rsidRDefault="00AB419D" w:rsidP="003974DF">
      <w:pPr>
        <w:ind w:right="98"/>
        <w:jc w:val="both"/>
        <w:rPr>
          <w:rFonts w:cs="Arial"/>
          <w:color w:val="000000"/>
          <w:szCs w:val="21"/>
        </w:rPr>
      </w:pPr>
      <w:r w:rsidRPr="005D78F4">
        <w:rPr>
          <w:rFonts w:cs="Arial"/>
          <w:color w:val="000000"/>
          <w:szCs w:val="21"/>
        </w:rPr>
        <w:t xml:space="preserve">The IRB’s </w:t>
      </w:r>
      <w:r w:rsidR="0040274D">
        <w:rPr>
          <w:rFonts w:cs="Arial"/>
          <w:color w:val="000000"/>
          <w:szCs w:val="21"/>
        </w:rPr>
        <w:t>Statement</w:t>
      </w:r>
      <w:r w:rsidRPr="005D78F4">
        <w:rPr>
          <w:rFonts w:cs="Arial"/>
          <w:color w:val="000000"/>
          <w:szCs w:val="21"/>
        </w:rPr>
        <w:t xml:space="preserve"> on the use of lucky draws for the recruitment of participants in </w:t>
      </w:r>
      <w:r w:rsidRPr="005D78F4">
        <w:rPr>
          <w:rFonts w:cs="Arial"/>
          <w:szCs w:val="21"/>
        </w:rPr>
        <w:t>research</w:t>
      </w:r>
      <w:r w:rsidR="003974DF" w:rsidRPr="005D78F4">
        <w:rPr>
          <w:rFonts w:cs="Arial"/>
          <w:szCs w:val="21"/>
        </w:rPr>
        <w:t xml:space="preserve"> studies</w:t>
      </w:r>
      <w:r w:rsidRPr="005D78F4">
        <w:rPr>
          <w:rFonts w:cs="Arial"/>
          <w:szCs w:val="21"/>
        </w:rPr>
        <w:t xml:space="preserve"> is given below</w:t>
      </w:r>
      <w:r w:rsidRPr="005D78F4">
        <w:rPr>
          <w:rFonts w:cs="Arial"/>
          <w:color w:val="000000"/>
          <w:szCs w:val="21"/>
        </w:rPr>
        <w:t>:</w:t>
      </w:r>
    </w:p>
    <w:p w:rsidR="00AB419D" w:rsidRPr="005D78F4" w:rsidRDefault="00AB419D" w:rsidP="003974DF">
      <w:pPr>
        <w:ind w:right="98"/>
        <w:jc w:val="both"/>
        <w:rPr>
          <w:rFonts w:cs="Arial"/>
          <w:color w:val="000000"/>
          <w:sz w:val="18"/>
          <w:szCs w:val="21"/>
        </w:rPr>
      </w:pPr>
    </w:p>
    <w:p w:rsidR="00AB419D" w:rsidRPr="005D78F4" w:rsidRDefault="00AB419D" w:rsidP="003974DF">
      <w:pPr>
        <w:pStyle w:val="PlainText"/>
        <w:ind w:right="98"/>
        <w:rPr>
          <w:rFonts w:ascii="Arial" w:hAnsi="Arial" w:cs="Arial"/>
          <w:sz w:val="22"/>
          <w:szCs w:val="21"/>
        </w:rPr>
      </w:pPr>
      <w:r w:rsidRPr="005D78F4">
        <w:rPr>
          <w:rFonts w:ascii="Arial" w:hAnsi="Arial" w:cs="Arial"/>
          <w:sz w:val="22"/>
          <w:szCs w:val="21"/>
          <w:u w:val="single"/>
        </w:rPr>
        <w:t>Preamble</w:t>
      </w:r>
    </w:p>
    <w:p w:rsidR="00AB419D" w:rsidRPr="005D78F4" w:rsidRDefault="00AB419D" w:rsidP="003974DF">
      <w:pPr>
        <w:numPr>
          <w:ilvl w:val="0"/>
          <w:numId w:val="5"/>
        </w:numPr>
        <w:tabs>
          <w:tab w:val="clear" w:pos="720"/>
        </w:tabs>
        <w:ind w:left="539" w:right="98" w:hanging="539"/>
        <w:jc w:val="both"/>
        <w:rPr>
          <w:rFonts w:cs="Arial"/>
          <w:szCs w:val="21"/>
        </w:rPr>
      </w:pPr>
      <w:r w:rsidRPr="005D78F4">
        <w:rPr>
          <w:rFonts w:cs="Arial"/>
          <w:szCs w:val="21"/>
        </w:rPr>
        <w:t xml:space="preserve">The NUS-IRB is responsible for reviewing </w:t>
      </w:r>
      <w:r w:rsidRPr="005D78F4">
        <w:rPr>
          <w:rFonts w:cs="Arial"/>
          <w:szCs w:val="21"/>
          <w:shd w:val="clear" w:color="auto" w:fill="FFFFFF"/>
        </w:rPr>
        <w:t xml:space="preserve">the ethical aspects of all NUS research projects that involve human </w:t>
      </w:r>
      <w:r w:rsidR="003974DF" w:rsidRPr="005D78F4">
        <w:rPr>
          <w:rFonts w:cs="Arial"/>
          <w:szCs w:val="21"/>
          <w:shd w:val="clear" w:color="auto" w:fill="FFFFFF"/>
        </w:rPr>
        <w:t xml:space="preserve">research </w:t>
      </w:r>
      <w:r w:rsidR="00291694">
        <w:rPr>
          <w:rFonts w:cs="Arial"/>
          <w:szCs w:val="21"/>
          <w:shd w:val="clear" w:color="auto" w:fill="FFFFFF"/>
        </w:rPr>
        <w:t>subjects</w:t>
      </w:r>
      <w:r w:rsidRPr="005D78F4">
        <w:rPr>
          <w:rFonts w:cs="Arial"/>
          <w:szCs w:val="21"/>
          <w:shd w:val="clear" w:color="auto" w:fill="FFFFFF"/>
        </w:rPr>
        <w:t>.</w:t>
      </w:r>
    </w:p>
    <w:p w:rsidR="00AB419D" w:rsidRPr="005D78F4" w:rsidRDefault="00AB419D" w:rsidP="003974DF">
      <w:pPr>
        <w:ind w:left="539" w:right="98" w:hanging="539"/>
        <w:jc w:val="both"/>
        <w:rPr>
          <w:rFonts w:cs="Arial"/>
          <w:szCs w:val="21"/>
        </w:rPr>
      </w:pPr>
    </w:p>
    <w:p w:rsidR="00AB419D" w:rsidRPr="005D78F4" w:rsidRDefault="00AB419D" w:rsidP="003974DF">
      <w:pPr>
        <w:numPr>
          <w:ilvl w:val="0"/>
          <w:numId w:val="5"/>
        </w:numPr>
        <w:tabs>
          <w:tab w:val="clear" w:pos="720"/>
        </w:tabs>
        <w:ind w:left="539" w:right="98" w:hanging="539"/>
        <w:jc w:val="both"/>
        <w:rPr>
          <w:rFonts w:cs="Arial"/>
          <w:szCs w:val="21"/>
        </w:rPr>
      </w:pPr>
      <w:r w:rsidRPr="005D78F4">
        <w:rPr>
          <w:rFonts w:cs="Arial"/>
          <w:szCs w:val="21"/>
        </w:rPr>
        <w:t xml:space="preserve">The NUS-IRB </w:t>
      </w:r>
      <w:r w:rsidR="0083437D" w:rsidRPr="005D78F4">
        <w:rPr>
          <w:rFonts w:cs="Arial"/>
          <w:szCs w:val="21"/>
        </w:rPr>
        <w:t xml:space="preserve">is open to </w:t>
      </w:r>
      <w:r w:rsidRPr="005D78F4">
        <w:rPr>
          <w:rFonts w:cs="Arial"/>
          <w:szCs w:val="21"/>
        </w:rPr>
        <w:t xml:space="preserve">consider requests from researchers to allow the use of lucky draws in the recruitment of </w:t>
      </w:r>
      <w:r w:rsidR="00291694">
        <w:rPr>
          <w:rFonts w:cs="Arial"/>
          <w:szCs w:val="21"/>
          <w:shd w:val="clear" w:color="auto" w:fill="FFFFFF"/>
        </w:rPr>
        <w:t>human subjects</w:t>
      </w:r>
      <w:r w:rsidRPr="005D78F4">
        <w:rPr>
          <w:rFonts w:cs="Arial"/>
          <w:szCs w:val="21"/>
        </w:rPr>
        <w:t xml:space="preserve"> for research. </w:t>
      </w:r>
    </w:p>
    <w:p w:rsidR="00AB419D" w:rsidRPr="005D78F4" w:rsidRDefault="00AB419D" w:rsidP="003974DF">
      <w:pPr>
        <w:ind w:right="98"/>
        <w:jc w:val="both"/>
        <w:rPr>
          <w:rFonts w:cs="Arial"/>
          <w:sz w:val="20"/>
          <w:szCs w:val="21"/>
        </w:rPr>
      </w:pPr>
    </w:p>
    <w:p w:rsidR="00AB419D" w:rsidRPr="005D78F4" w:rsidRDefault="00AB419D" w:rsidP="003974DF">
      <w:pPr>
        <w:pStyle w:val="PlainText"/>
        <w:ind w:right="98"/>
        <w:rPr>
          <w:rFonts w:ascii="Arial" w:hAnsi="Arial" w:cs="Arial"/>
          <w:sz w:val="22"/>
          <w:szCs w:val="21"/>
        </w:rPr>
      </w:pPr>
      <w:r w:rsidRPr="005D78F4">
        <w:rPr>
          <w:rFonts w:ascii="Arial" w:hAnsi="Arial" w:cs="Arial"/>
          <w:sz w:val="22"/>
          <w:szCs w:val="21"/>
          <w:u w:val="single"/>
        </w:rPr>
        <w:t>Exclusion</w:t>
      </w:r>
    </w:p>
    <w:p w:rsidR="00AB419D" w:rsidRPr="005D78F4" w:rsidRDefault="00AB419D" w:rsidP="003974DF">
      <w:pPr>
        <w:numPr>
          <w:ilvl w:val="0"/>
          <w:numId w:val="5"/>
        </w:numPr>
        <w:tabs>
          <w:tab w:val="clear" w:pos="720"/>
        </w:tabs>
        <w:ind w:left="539" w:right="98" w:hanging="539"/>
        <w:jc w:val="both"/>
        <w:rPr>
          <w:rFonts w:cs="Arial"/>
          <w:szCs w:val="21"/>
        </w:rPr>
      </w:pPr>
      <w:r w:rsidRPr="005D78F4">
        <w:rPr>
          <w:rFonts w:cs="Arial"/>
          <w:szCs w:val="21"/>
        </w:rPr>
        <w:t xml:space="preserve">The NUS-IRB’s position is that </w:t>
      </w:r>
      <w:r w:rsidRPr="005D78F4">
        <w:rPr>
          <w:rFonts w:cs="Arial"/>
          <w:b/>
          <w:bCs/>
          <w:szCs w:val="21"/>
          <w:u w:val="single"/>
        </w:rPr>
        <w:t>ALL</w:t>
      </w:r>
      <w:r w:rsidRPr="005D78F4">
        <w:rPr>
          <w:rFonts w:cs="Arial"/>
          <w:szCs w:val="21"/>
        </w:rPr>
        <w:t xml:space="preserve"> biomedical research studies that involve clinical interventions or experiments which carry some risk of harm would </w:t>
      </w:r>
      <w:r w:rsidRPr="005D78F4">
        <w:rPr>
          <w:rFonts w:cs="Arial"/>
          <w:b/>
          <w:bCs/>
          <w:szCs w:val="21"/>
          <w:u w:val="single"/>
        </w:rPr>
        <w:t>NOT</w:t>
      </w:r>
      <w:r w:rsidRPr="005D78F4">
        <w:rPr>
          <w:rFonts w:cs="Arial"/>
          <w:szCs w:val="21"/>
        </w:rPr>
        <w:t xml:space="preserve"> be considered for lucky draws. </w:t>
      </w:r>
    </w:p>
    <w:p w:rsidR="00AB419D" w:rsidRPr="005D78F4" w:rsidRDefault="00AB419D" w:rsidP="003974DF">
      <w:pPr>
        <w:ind w:left="720" w:right="98"/>
        <w:jc w:val="both"/>
        <w:rPr>
          <w:rFonts w:cs="Arial"/>
          <w:sz w:val="20"/>
          <w:szCs w:val="21"/>
        </w:rPr>
      </w:pPr>
    </w:p>
    <w:p w:rsidR="00AB419D" w:rsidRPr="005D78F4" w:rsidRDefault="00AB419D" w:rsidP="003974DF">
      <w:pPr>
        <w:pStyle w:val="PlainText"/>
        <w:ind w:right="98"/>
        <w:rPr>
          <w:rFonts w:ascii="Arial" w:hAnsi="Arial" w:cs="Arial"/>
          <w:sz w:val="22"/>
          <w:szCs w:val="21"/>
          <w:u w:val="single"/>
        </w:rPr>
      </w:pPr>
      <w:r w:rsidRPr="005D78F4">
        <w:rPr>
          <w:rFonts w:ascii="Arial" w:hAnsi="Arial" w:cs="Arial"/>
          <w:sz w:val="22"/>
          <w:szCs w:val="21"/>
          <w:u w:val="single"/>
        </w:rPr>
        <w:t>Principle of Reimbursement</w:t>
      </w:r>
    </w:p>
    <w:p w:rsidR="00AB419D" w:rsidRPr="005D78F4" w:rsidRDefault="00AB419D" w:rsidP="003974DF">
      <w:pPr>
        <w:numPr>
          <w:ilvl w:val="0"/>
          <w:numId w:val="5"/>
        </w:numPr>
        <w:tabs>
          <w:tab w:val="clear" w:pos="720"/>
        </w:tabs>
        <w:ind w:left="539" w:right="98" w:hanging="539"/>
        <w:jc w:val="both"/>
        <w:rPr>
          <w:rFonts w:cs="Arial"/>
          <w:szCs w:val="21"/>
        </w:rPr>
      </w:pPr>
      <w:r w:rsidRPr="005D78F4">
        <w:rPr>
          <w:rFonts w:cs="Arial"/>
          <w:szCs w:val="21"/>
        </w:rPr>
        <w:t xml:space="preserve">The general rule is still to allow for </w:t>
      </w:r>
      <w:r w:rsidR="00550BF8">
        <w:rPr>
          <w:rFonts w:cs="Arial"/>
          <w:szCs w:val="21"/>
        </w:rPr>
        <w:t xml:space="preserve">reimbursement to </w:t>
      </w:r>
      <w:r w:rsidRPr="005D78F4">
        <w:rPr>
          <w:rFonts w:cs="Arial"/>
          <w:szCs w:val="21"/>
        </w:rPr>
        <w:t>research participants</w:t>
      </w:r>
      <w:r w:rsidR="00250817" w:rsidRPr="005D78F4">
        <w:rPr>
          <w:rFonts w:cs="Arial"/>
          <w:szCs w:val="21"/>
        </w:rPr>
        <w:t xml:space="preserve"> </w:t>
      </w:r>
      <w:r w:rsidRPr="005D78F4">
        <w:rPr>
          <w:rFonts w:cs="Arial"/>
          <w:szCs w:val="21"/>
        </w:rPr>
        <w:t xml:space="preserve">for participation </w:t>
      </w:r>
      <w:r w:rsidR="00550BF8">
        <w:rPr>
          <w:rFonts w:cs="Arial"/>
          <w:szCs w:val="21"/>
        </w:rPr>
        <w:t xml:space="preserve">(if reimbursement is provided) </w:t>
      </w:r>
      <w:r w:rsidRPr="005D78F4">
        <w:rPr>
          <w:rFonts w:cs="Arial"/>
          <w:szCs w:val="21"/>
        </w:rPr>
        <w:t>in research studies</w:t>
      </w:r>
      <w:r w:rsidR="00250817" w:rsidRPr="005D78F4">
        <w:rPr>
          <w:rFonts w:cs="Arial"/>
          <w:szCs w:val="21"/>
        </w:rPr>
        <w:t>.</w:t>
      </w:r>
    </w:p>
    <w:p w:rsidR="00AB419D" w:rsidRPr="005D78F4" w:rsidRDefault="00AB419D" w:rsidP="003974DF">
      <w:pPr>
        <w:ind w:left="720" w:right="98"/>
        <w:jc w:val="both"/>
        <w:rPr>
          <w:rFonts w:cs="Arial"/>
          <w:sz w:val="20"/>
          <w:szCs w:val="21"/>
        </w:rPr>
      </w:pPr>
    </w:p>
    <w:p w:rsidR="00AB419D" w:rsidRPr="005D78F4" w:rsidRDefault="00AB419D" w:rsidP="003974DF">
      <w:pPr>
        <w:ind w:right="98"/>
        <w:jc w:val="both"/>
        <w:rPr>
          <w:rFonts w:cs="Arial"/>
          <w:szCs w:val="21"/>
          <w:u w:val="single"/>
        </w:rPr>
      </w:pPr>
      <w:r w:rsidRPr="005D78F4">
        <w:rPr>
          <w:rFonts w:cs="Arial"/>
          <w:szCs w:val="21"/>
          <w:u w:val="single"/>
        </w:rPr>
        <w:t>Guidelines</w:t>
      </w:r>
    </w:p>
    <w:p w:rsidR="00AB419D" w:rsidRPr="005D78F4" w:rsidRDefault="00AB419D" w:rsidP="003974DF">
      <w:pPr>
        <w:numPr>
          <w:ilvl w:val="0"/>
          <w:numId w:val="5"/>
        </w:numPr>
        <w:tabs>
          <w:tab w:val="clear" w:pos="720"/>
        </w:tabs>
        <w:spacing w:after="60"/>
        <w:ind w:left="539" w:right="98" w:hanging="539"/>
        <w:jc w:val="both"/>
        <w:rPr>
          <w:rFonts w:cs="Arial"/>
          <w:szCs w:val="21"/>
        </w:rPr>
      </w:pPr>
      <w:r w:rsidRPr="005D78F4">
        <w:rPr>
          <w:rFonts w:cs="Arial"/>
          <w:szCs w:val="21"/>
        </w:rPr>
        <w:t xml:space="preserve">However, the NUS-IRB is prepared to consider the use of lucky draws in the recruitment of </w:t>
      </w:r>
      <w:r w:rsidR="009F5E9A">
        <w:rPr>
          <w:rFonts w:cs="Arial"/>
          <w:szCs w:val="21"/>
          <w:shd w:val="clear" w:color="auto" w:fill="FFFFFF"/>
        </w:rPr>
        <w:t>human subjects</w:t>
      </w:r>
      <w:r w:rsidR="003974DF" w:rsidRPr="005D78F4">
        <w:rPr>
          <w:rFonts w:cs="Arial"/>
          <w:szCs w:val="21"/>
        </w:rPr>
        <w:t xml:space="preserve"> </w:t>
      </w:r>
      <w:r w:rsidRPr="005D78F4">
        <w:rPr>
          <w:rFonts w:cs="Arial"/>
          <w:szCs w:val="21"/>
        </w:rPr>
        <w:t xml:space="preserve">for research in a limited way and on </w:t>
      </w:r>
      <w:r w:rsidRPr="005D78F4">
        <w:rPr>
          <w:rFonts w:cs="Arial"/>
          <w:szCs w:val="21"/>
          <w:u w:val="single"/>
        </w:rPr>
        <w:t>a case-by-case basis</w:t>
      </w:r>
      <w:r w:rsidRPr="005D78F4">
        <w:rPr>
          <w:rFonts w:cs="Arial"/>
          <w:szCs w:val="21"/>
        </w:rPr>
        <w:t>, taking the following considerations into account:</w:t>
      </w:r>
    </w:p>
    <w:p w:rsidR="00AB419D" w:rsidRPr="005D78F4" w:rsidRDefault="00AB419D" w:rsidP="003974DF">
      <w:pPr>
        <w:pStyle w:val="BodyText"/>
        <w:numPr>
          <w:ilvl w:val="0"/>
          <w:numId w:val="6"/>
        </w:numPr>
        <w:spacing w:after="60"/>
        <w:ind w:left="899" w:right="98"/>
        <w:jc w:val="both"/>
        <w:rPr>
          <w:rFonts w:cs="Arial"/>
          <w:szCs w:val="21"/>
        </w:rPr>
      </w:pPr>
      <w:r w:rsidRPr="005D78F4">
        <w:rPr>
          <w:rFonts w:cs="Arial"/>
          <w:szCs w:val="21"/>
        </w:rPr>
        <w:t>Every research participant must have an equal chance of winning;</w:t>
      </w:r>
    </w:p>
    <w:p w:rsidR="00AB419D" w:rsidRPr="005D78F4" w:rsidRDefault="00AB419D" w:rsidP="003974DF">
      <w:pPr>
        <w:pStyle w:val="BodyText"/>
        <w:numPr>
          <w:ilvl w:val="0"/>
          <w:numId w:val="6"/>
        </w:numPr>
        <w:spacing w:after="60"/>
        <w:ind w:left="899" w:right="98"/>
        <w:jc w:val="both"/>
        <w:rPr>
          <w:rFonts w:cs="Arial"/>
          <w:szCs w:val="21"/>
        </w:rPr>
      </w:pPr>
      <w:r w:rsidRPr="005D78F4">
        <w:rPr>
          <w:rFonts w:cs="Arial"/>
          <w:szCs w:val="21"/>
        </w:rPr>
        <w:t xml:space="preserve">The value of the prize must be reasonable. When reviewing a proposed prize(s), IRB would consider the disparity between the standard guidance on reimbursement that </w:t>
      </w:r>
      <w:r w:rsidR="009A63CA">
        <w:rPr>
          <w:rFonts w:cs="Arial"/>
          <w:szCs w:val="21"/>
        </w:rPr>
        <w:t>subjects</w:t>
      </w:r>
      <w:r w:rsidR="00492491" w:rsidRPr="005D78F4">
        <w:rPr>
          <w:rFonts w:cs="Arial"/>
          <w:szCs w:val="21"/>
        </w:rPr>
        <w:t xml:space="preserve"> </w:t>
      </w:r>
      <w:r w:rsidRPr="005D78F4">
        <w:rPr>
          <w:rFonts w:cs="Arial"/>
          <w:szCs w:val="21"/>
        </w:rPr>
        <w:t xml:space="preserve">would have received and the value of the prize(s) that </w:t>
      </w:r>
      <w:r w:rsidR="009A63CA">
        <w:rPr>
          <w:rFonts w:cs="Arial"/>
          <w:szCs w:val="21"/>
        </w:rPr>
        <w:t>subjects</w:t>
      </w:r>
      <w:r w:rsidRPr="005D78F4">
        <w:rPr>
          <w:rFonts w:cs="Arial"/>
          <w:szCs w:val="21"/>
        </w:rPr>
        <w:t xml:space="preserve"> are offered for the same study participation. This disparity should not be such as to exert undue influence on the </w:t>
      </w:r>
      <w:r w:rsidR="00CB2BD1" w:rsidRPr="005D78F4">
        <w:rPr>
          <w:rFonts w:cs="Arial"/>
          <w:szCs w:val="21"/>
        </w:rPr>
        <w:t xml:space="preserve">research </w:t>
      </w:r>
      <w:r w:rsidRPr="005D78F4">
        <w:rPr>
          <w:rFonts w:cs="Arial"/>
          <w:szCs w:val="21"/>
        </w:rPr>
        <w:t>participants’ willingness to participate in the research study;</w:t>
      </w:r>
    </w:p>
    <w:p w:rsidR="00AB419D" w:rsidRPr="005D78F4" w:rsidRDefault="00AB419D" w:rsidP="003974DF">
      <w:pPr>
        <w:pStyle w:val="BodyText"/>
        <w:numPr>
          <w:ilvl w:val="0"/>
          <w:numId w:val="6"/>
        </w:numPr>
        <w:spacing w:after="60"/>
        <w:ind w:left="899" w:right="98"/>
        <w:jc w:val="both"/>
        <w:rPr>
          <w:rFonts w:cs="Arial"/>
          <w:szCs w:val="21"/>
        </w:rPr>
      </w:pPr>
      <w:r w:rsidRPr="005D78F4">
        <w:rPr>
          <w:rFonts w:cs="Arial"/>
          <w:szCs w:val="21"/>
        </w:rPr>
        <w:t xml:space="preserve">Any future increase in the number of research participants participating in the research will include provisions for making similar prizes (with similar odds of winning) available to the additional subjects. </w:t>
      </w:r>
    </w:p>
    <w:p w:rsidR="00AB419D" w:rsidRPr="005D78F4" w:rsidRDefault="002E5CD3" w:rsidP="003974DF">
      <w:pPr>
        <w:pStyle w:val="BodyText"/>
        <w:numPr>
          <w:ilvl w:val="0"/>
          <w:numId w:val="6"/>
        </w:numPr>
        <w:spacing w:after="60"/>
        <w:ind w:left="899" w:right="98"/>
        <w:jc w:val="both"/>
        <w:rPr>
          <w:rFonts w:cs="Arial"/>
          <w:szCs w:val="21"/>
        </w:rPr>
      </w:pPr>
      <w:r>
        <w:rPr>
          <w:rFonts w:cs="Arial"/>
          <w:szCs w:val="21"/>
        </w:rPr>
        <w:t>Subjects</w:t>
      </w:r>
      <w:r w:rsidR="00AB419D" w:rsidRPr="005D78F4">
        <w:rPr>
          <w:rFonts w:cs="Arial"/>
          <w:szCs w:val="21"/>
        </w:rPr>
        <w:t xml:space="preserve"> can opt out of participating in the lucky draw if they wish; and</w:t>
      </w:r>
    </w:p>
    <w:p w:rsidR="00AB419D" w:rsidRPr="005D78F4" w:rsidRDefault="00AB419D" w:rsidP="005D78F4">
      <w:pPr>
        <w:pStyle w:val="BodyText"/>
        <w:numPr>
          <w:ilvl w:val="0"/>
          <w:numId w:val="6"/>
        </w:numPr>
        <w:spacing w:after="200"/>
        <w:ind w:left="893" w:right="101"/>
        <w:jc w:val="both"/>
        <w:rPr>
          <w:rFonts w:cs="Arial"/>
          <w:szCs w:val="21"/>
        </w:rPr>
      </w:pPr>
      <w:r w:rsidRPr="005D78F4">
        <w:rPr>
          <w:rFonts w:cs="Arial"/>
          <w:szCs w:val="21"/>
        </w:rPr>
        <w:t>When there is little or insufficient funding for the research study, or individual payments are not feasible due to the large number of research participants. However, do note that the IRB may not necessarily find this argument persuasive or compelling.</w:t>
      </w:r>
    </w:p>
    <w:sectPr w:rsidR="00AB419D" w:rsidRPr="005D78F4" w:rsidSect="005D78F4">
      <w:headerReference w:type="default" r:id="rId13"/>
      <w:footerReference w:type="default" r:id="rId14"/>
      <w:pgSz w:w="11909" w:h="16834" w:code="9"/>
      <w:pgMar w:top="863" w:right="1440" w:bottom="720" w:left="1440" w:header="720"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40" w:rsidRDefault="00EC0240" w:rsidP="00F65A63">
      <w:pPr/>
      <w:r>
        <w:separator/>
      </w:r>
    </w:p>
  </w:endnote>
  <w:endnote w:type="continuationSeparator" w:id="0">
    <w:p w:rsidR="00EC0240" w:rsidRDefault="00EC0240" w:rsidP="00F65A6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F7" w:rsidRPr="00B2677D" w:rsidRDefault="00F150A9" w:rsidP="00AF50F7">
    <w:pPr>
      <w:pStyle w:val="Footer"/>
      <w:pBdr>
        <w:top w:val="single" w:sz="4" w:space="1" w:color="auto"/>
      </w:pBdr>
      <w:jc w:val="both"/>
      <w:rPr>
        <w:rFonts w:ascii="Verdana" w:hAnsi="Verdana" w:cs="Arial"/>
        <w:b/>
        <w:color w:val="FF0000"/>
        <w:sz w:val="16"/>
        <w:szCs w:val="16"/>
        <w:u w:val="single"/>
      </w:rPr>
    </w:pPr>
    <w:r>
      <w:rPr>
        <w:rFonts w:ascii="Verdana" w:hAnsi="Verdana" w:cs="Arial"/>
        <w:b/>
        <w:noProof/>
        <w:color w:val="FF0000"/>
        <w:sz w:val="16"/>
        <w:szCs w:val="16"/>
        <w:u w:val="single"/>
        <w:lang w:eastAsia="zh-CN"/>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-3175</wp:posOffset>
              </wp:positionV>
              <wp:extent cx="2059305" cy="5715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073A" id="Rectangle 5" o:spid="_x0000_s1026" style="position:absolute;margin-left:-6.15pt;margin-top:-.25pt;width:162.1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" filled="f" strokeweight="1pt"/>
          </w:pict>
        </mc:Fallback>
      </mc:AlternateContent>
    </w:r>
    <w:r w:rsidR="00AF50F7" w:rsidRPr="00B2677D">
      <w:rPr>
        <w:rFonts w:ascii="Verdana" w:hAnsi="Verdana" w:cs="Arial"/>
        <w:b/>
        <w:color w:val="FF0000"/>
        <w:sz w:val="16"/>
        <w:szCs w:val="16"/>
        <w:u w:val="single"/>
      </w:rPr>
      <w:t>OFFICIAL USE ONLY</w:t>
    </w:r>
  </w:p>
  <w:p w:rsidR="00AF50F7" w:rsidRPr="00C940F1" w:rsidRDefault="00AF50F7" w:rsidP="00AF50F7">
    <w:pPr>
      <w:pStyle w:val="Footer"/>
      <w:pBdr>
        <w:top w:val="single" w:sz="4" w:space="1" w:color="auto"/>
      </w:pBdr>
      <w:jc w:val="both"/>
      <w:rPr>
        <w:rFonts w:ascii="Verdana" w:hAnsi="Verdana"/>
        <w:b/>
        <w:sz w:val="16"/>
        <w:szCs w:val="16"/>
      </w:rPr>
    </w:pPr>
    <w:r w:rsidRPr="00E27B13">
      <w:rPr>
        <w:rFonts w:ascii="Verdana" w:hAnsi="Verdana" w:cs="Arial"/>
        <w:sz w:val="16"/>
        <w:szCs w:val="16"/>
      </w:rPr>
      <w:t xml:space="preserve">NUS-IRB </w:t>
    </w:r>
    <w:r w:rsidR="00AB419D">
      <w:rPr>
        <w:rFonts w:ascii="Verdana" w:hAnsi="Verdana"/>
        <w:sz w:val="16"/>
        <w:szCs w:val="16"/>
      </w:rPr>
      <w:t>Lucky Draw</w:t>
    </w:r>
    <w:r>
      <w:rPr>
        <w:rFonts w:ascii="Verdana" w:hAnsi="Verdana"/>
        <w:sz w:val="16"/>
        <w:szCs w:val="16"/>
      </w:rPr>
      <w:t xml:space="preserve"> for recruitment</w:t>
    </w:r>
    <w:r w:rsidRPr="00D2494D">
      <w:rPr>
        <w:rFonts w:ascii="Verdana" w:hAnsi="Verdana" w:cs="Arial"/>
        <w:b/>
        <w:sz w:val="16"/>
        <w:szCs w:val="16"/>
      </w:rPr>
      <w:tab/>
    </w:r>
  </w:p>
  <w:p w:rsidR="00AF50F7" w:rsidRPr="00F578AF" w:rsidRDefault="00AF50F7" w:rsidP="00AF50F7">
    <w:pPr>
      <w:pStyle w:val="Footer"/>
      <w:pBdr>
        <w:top w:val="single" w:sz="4" w:space="1" w:color="auto"/>
      </w:pBdr>
      <w:jc w:val="both"/>
      <w:rPr>
        <w:rFonts w:ascii="Verdana" w:hAnsi="Verdana" w:cs="Arial"/>
        <w:b/>
        <w:iCs/>
        <w:sz w:val="16"/>
        <w:szCs w:val="16"/>
      </w:rPr>
    </w:pPr>
    <w:r w:rsidRPr="00E27B13">
      <w:rPr>
        <w:rFonts w:ascii="Verdana" w:hAnsi="Verdana" w:cs="Arial"/>
        <w:bCs/>
        <w:sz w:val="16"/>
        <w:szCs w:val="16"/>
      </w:rPr>
      <w:t>(IRB-</w:t>
    </w:r>
    <w:r>
      <w:rPr>
        <w:rFonts w:ascii="Verdana" w:hAnsi="Verdana"/>
        <w:bCs/>
        <w:sz w:val="16"/>
        <w:szCs w:val="16"/>
        <w:lang w:val="en-SG"/>
      </w:rPr>
      <w:t>GUIDE</w:t>
    </w:r>
    <w:r w:rsidRPr="00E27B13">
      <w:rPr>
        <w:rFonts w:ascii="Verdana" w:hAnsi="Verdana" w:cs="Arial"/>
        <w:bCs/>
        <w:sz w:val="16"/>
        <w:szCs w:val="16"/>
      </w:rPr>
      <w:t>-</w:t>
    </w:r>
    <w:r w:rsidR="00FA66B1">
      <w:rPr>
        <w:rFonts w:ascii="Verdana" w:hAnsi="Verdana"/>
        <w:bCs/>
        <w:sz w:val="16"/>
        <w:szCs w:val="16"/>
      </w:rPr>
      <w:t>S05</w:t>
    </w:r>
    <w:r w:rsidRPr="00E27B13">
      <w:rPr>
        <w:rFonts w:ascii="Verdana" w:hAnsi="Verdana" w:cs="Arial"/>
        <w:bCs/>
        <w:sz w:val="16"/>
        <w:szCs w:val="16"/>
      </w:rPr>
      <w:t>)</w:t>
    </w:r>
    <w:r w:rsidRPr="005528C2">
      <w:rPr>
        <w:rFonts w:ascii="Verdana" w:hAnsi="Verdana"/>
        <w:b/>
        <w:sz w:val="16"/>
        <w:szCs w:val="16"/>
      </w:rPr>
      <w:tab/>
      <w:t xml:space="preserve">    </w:t>
    </w:r>
    <w:r w:rsidRPr="005528C2">
      <w:rPr>
        <w:rFonts w:ascii="Verdana" w:hAnsi="Verdana"/>
        <w:b/>
        <w:sz w:val="16"/>
        <w:szCs w:val="16"/>
      </w:rPr>
      <w:tab/>
    </w:r>
  </w:p>
  <w:p w:rsidR="00AF50F7" w:rsidRDefault="00AF50F7" w:rsidP="00AF50F7">
    <w:pPr>
      <w:pStyle w:val="Footer"/>
    </w:pPr>
    <w:r w:rsidRPr="00B2677D">
      <w:rPr>
        <w:rFonts w:ascii="Verdana" w:hAnsi="Verdana" w:cs="Arial"/>
        <w:bCs/>
        <w:i/>
        <w:color w:val="FF0000"/>
        <w:sz w:val="16"/>
        <w:szCs w:val="16"/>
      </w:rPr>
      <w:t xml:space="preserve">Version </w:t>
    </w:r>
    <w:r w:rsidR="00FA66B1">
      <w:rPr>
        <w:rFonts w:ascii="Verdana" w:hAnsi="Verdana"/>
        <w:bCs/>
        <w:i/>
        <w:color w:val="FF0000"/>
        <w:sz w:val="16"/>
        <w:szCs w:val="16"/>
      </w:rPr>
      <w:t>1</w:t>
    </w:r>
    <w:r w:rsidRPr="00B2677D">
      <w:rPr>
        <w:rFonts w:ascii="Verdana" w:hAnsi="Verdana" w:cs="Arial"/>
        <w:bCs/>
        <w:i/>
        <w:color w:val="FF0000"/>
        <w:sz w:val="16"/>
        <w:szCs w:val="16"/>
      </w:rPr>
      <w:t xml:space="preserve">, </w:t>
    </w:r>
    <w:r w:rsidR="00FA66B1">
      <w:rPr>
        <w:rFonts w:ascii="Verdana" w:hAnsi="Verdana"/>
        <w:bCs/>
        <w:i/>
        <w:color w:val="FF0000"/>
        <w:sz w:val="16"/>
        <w:szCs w:val="16"/>
      </w:rPr>
      <w:t>4 July</w:t>
    </w:r>
    <w:r w:rsidRPr="00B2677D">
      <w:rPr>
        <w:rFonts w:ascii="Verdana" w:hAnsi="Verdana" w:cs="Arial"/>
        <w:bCs/>
        <w:i/>
        <w:color w:val="FF0000"/>
        <w:sz w:val="16"/>
        <w:szCs w:val="16"/>
      </w:rPr>
      <w:t xml:space="preserve"> 201</w:t>
    </w:r>
    <w:r w:rsidR="001202A9">
      <w:rPr>
        <w:rFonts w:ascii="Verdana" w:hAnsi="Verdana" w:cs="Arial"/>
        <w:bCs/>
        <w:i/>
        <w:color w:val="FF0000"/>
        <w:sz w:val="16"/>
        <w:szCs w:val="16"/>
      </w:rPr>
      <w:t>3</w:t>
    </w:r>
    <w:r>
      <w:rPr>
        <w:rFonts w:ascii="Verdana" w:hAnsi="Verdana"/>
        <w:bCs/>
        <w:i/>
        <w:color w:val="FF0000"/>
        <w:sz w:val="16"/>
        <w:szCs w:val="16"/>
      </w:rPr>
      <w:tab/>
    </w:r>
    <w:r w:rsidRPr="00B1722E">
      <w:rPr>
        <w:b/>
        <w:sz w:val="18"/>
        <w:szCs w:val="18"/>
      </w:rPr>
      <w:t xml:space="preserve">Page </w:t>
    </w:r>
    <w:r w:rsidRPr="00B1722E">
      <w:rPr>
        <w:b/>
        <w:sz w:val="18"/>
        <w:szCs w:val="18"/>
      </w:rPr>
      <w:fldChar w:fldCharType="begin"/>
    </w:r>
    <w:r w:rsidRPr="00B1722E">
      <w:rPr>
        <w:b/>
        <w:sz w:val="18"/>
        <w:szCs w:val="18"/>
      </w:rPr>
      <w:instrText xml:space="preserve"> PAGE </w:instrText>
    </w:r>
    <w:r w:rsidRPr="00B1722E">
      <w:rPr>
        <w:b/>
        <w:sz w:val="18"/>
        <w:szCs w:val="18"/>
      </w:rPr>
      <w:fldChar w:fldCharType="separate"/>
    </w:r>
    <w:r w:rsidR="00F150A9">
      <w:rPr>
        <w:b/>
        <w:noProof/>
        <w:sz w:val="18"/>
        <w:szCs w:val="18"/>
      </w:rPr>
      <w:t>1</w:t>
    </w:r>
    <w:r w:rsidRPr="00B1722E">
      <w:rPr>
        <w:b/>
        <w:sz w:val="18"/>
        <w:szCs w:val="18"/>
      </w:rPr>
      <w:fldChar w:fldCharType="end"/>
    </w:r>
    <w:r w:rsidRPr="00B1722E">
      <w:rPr>
        <w:b/>
        <w:sz w:val="18"/>
        <w:szCs w:val="18"/>
      </w:rPr>
      <w:t xml:space="preserve"> of </w:t>
    </w:r>
    <w:r w:rsidRPr="00B1722E">
      <w:rPr>
        <w:b/>
        <w:sz w:val="18"/>
        <w:szCs w:val="18"/>
      </w:rPr>
      <w:fldChar w:fldCharType="begin"/>
    </w:r>
    <w:r w:rsidRPr="00B1722E">
      <w:rPr>
        <w:b/>
        <w:sz w:val="18"/>
        <w:szCs w:val="18"/>
      </w:rPr>
      <w:instrText xml:space="preserve"> NUMPAGES </w:instrText>
    </w:r>
    <w:r w:rsidRPr="00B1722E">
      <w:rPr>
        <w:b/>
        <w:sz w:val="18"/>
        <w:szCs w:val="18"/>
      </w:rPr>
      <w:fldChar w:fldCharType="separate"/>
    </w:r>
    <w:r w:rsidR="00F150A9">
      <w:rPr>
        <w:b/>
        <w:noProof/>
        <w:sz w:val="18"/>
        <w:szCs w:val="18"/>
      </w:rPr>
      <w:t>1</w:t>
    </w:r>
    <w:r w:rsidRPr="00B1722E">
      <w:rPr>
        <w:b/>
        <w:sz w:val="18"/>
        <w:szCs w:val="18"/>
      </w:rPr>
      <w:fldChar w:fldCharType="end"/>
    </w:r>
  </w:p>
  <w:p w:rsidR="00462A55" w:rsidRPr="00AF50F7" w:rsidRDefault="00462A55" w:rsidP="00AF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40" w:rsidRDefault="00EC0240" w:rsidP="00F65A63">
      <w:pPr/>
      <w:r>
        <w:separator/>
      </w:r>
    </w:p>
  </w:footnote>
  <w:footnote w:type="continuationSeparator" w:id="0">
    <w:p w:rsidR="00EC0240" w:rsidRDefault="00EC0240" w:rsidP="00F65A6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55" w:rsidRDefault="00F150A9" w:rsidP="000248CB">
    <w:pPr>
      <w:pStyle w:val="Header"/>
      <w:spacing w:before="60"/>
      <w:rPr>
        <w:b/>
        <w:bCs/>
        <w:sz w:val="20"/>
      </w:rPr>
    </w:pPr>
    <w:r>
      <w:rPr>
        <w:rFonts w:cs="Arial"/>
        <w:b/>
        <w:bCs/>
        <w:noProof/>
        <w:sz w:val="20"/>
        <w:lang w:eastAsia="zh-CN"/>
      </w:rPr>
      <w:drawing>
        <wp:anchor distT="0" distB="0" distL="114300" distR="114300" simplePos="0" relativeHeight="251656704" behindDoc="0" locked="0" layoutInCell="1" allowOverlap="0">
          <wp:simplePos x="0" y="0"/>
          <wp:positionH relativeFrom="column">
            <wp:posOffset>4366895</wp:posOffset>
          </wp:positionH>
          <wp:positionV relativeFrom="page">
            <wp:posOffset>515620</wp:posOffset>
          </wp:positionV>
          <wp:extent cx="1372235" cy="607060"/>
          <wp:effectExtent l="0" t="0" r="0" b="0"/>
          <wp:wrapNone/>
          <wp:docPr id="3" name="Picture 1"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_logo_black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lang w:eastAsia="zh-CN"/>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148D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45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ECEQIAACkEAAAOAAAAZHJzL2Uyb0RvYy54bWysU9uO2yAQfa/Uf0C8J77Emy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" strokeweight="3pt"/>
          </w:pict>
        </mc:Fallback>
      </mc:AlternateContent>
    </w:r>
  </w:p>
  <w:p w:rsidR="00462A55" w:rsidRPr="0001592F" w:rsidRDefault="00462A55" w:rsidP="000248CB">
    <w:pPr>
      <w:pStyle w:val="Header"/>
      <w:spacing w:before="60"/>
      <w:rPr>
        <w:rFonts w:cs="Arial"/>
        <w:b/>
        <w:bCs/>
        <w:sz w:val="20"/>
      </w:rPr>
    </w:pPr>
    <w:r>
      <w:rPr>
        <w:rFonts w:cs="Arial"/>
        <w:b/>
        <w:bCs/>
        <w:sz w:val="20"/>
      </w:rPr>
      <w:t>NUS Institutional Review Board (IRB)</w:t>
    </w:r>
  </w:p>
  <w:p w:rsidR="00462A55" w:rsidRDefault="00462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BA6"/>
    <w:multiLevelType w:val="singleLevel"/>
    <w:tmpl w:val="B0A68466"/>
    <w:lvl w:ilvl="0">
      <w:start w:val="1"/>
      <w:numFmt w:val="lowerLetter"/>
      <w:lvlText w:val="(%1)"/>
      <w:lvlJc w:val="left"/>
      <w:pPr>
        <w:tabs>
          <w:tab w:val="num" w:pos="1440"/>
        </w:tabs>
        <w:ind w:left="1440" w:hanging="720"/>
      </w:pPr>
      <w:rPr>
        <w:rFonts w:hint="default"/>
      </w:rPr>
    </w:lvl>
  </w:abstractNum>
  <w:abstractNum w:abstractNumId="1" w15:restartNumberingAfterBreak="0">
    <w:nsid w:val="29E313E7"/>
    <w:multiLevelType w:val="hybridMultilevel"/>
    <w:tmpl w:val="C0B67646"/>
    <w:lvl w:ilvl="0" w:tplc="F6FCDFB0">
      <w:start w:val="1"/>
      <w:numFmt w:val="decimal"/>
      <w:lvlText w:val="%1."/>
      <w:lvlJc w:val="left"/>
      <w:pPr>
        <w:ind w:left="360" w:hanging="360"/>
      </w:pPr>
      <w:rPr>
        <w:rFonts w:hint="default"/>
        <w:b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0347F4D"/>
    <w:multiLevelType w:val="hybridMultilevel"/>
    <w:tmpl w:val="F78A02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4F43295"/>
    <w:multiLevelType w:val="hybridMultilevel"/>
    <w:tmpl w:val="5DB0B904"/>
    <w:lvl w:ilvl="0" w:tplc="48090017">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67515B79"/>
    <w:multiLevelType w:val="singleLevel"/>
    <w:tmpl w:val="193A1480"/>
    <w:lvl w:ilvl="0">
      <w:start w:val="1"/>
      <w:numFmt w:val="lowerLetter"/>
      <w:lvlText w:val="(%1)"/>
      <w:lvlJc w:val="left"/>
      <w:pPr>
        <w:tabs>
          <w:tab w:val="num" w:pos="1080"/>
        </w:tabs>
        <w:ind w:left="1080" w:hanging="360"/>
      </w:pPr>
      <w:rPr>
        <w:rFonts w:hint="default"/>
      </w:rPr>
    </w:lvl>
  </w:abstractNum>
  <w:abstractNum w:abstractNumId="5" w15:restartNumberingAfterBreak="0">
    <w:nsid w:val="6CB51876"/>
    <w:multiLevelType w:val="singleLevel"/>
    <w:tmpl w:val="EF24EB52"/>
    <w:lvl w:ilvl="0">
      <w:start w:val="1"/>
      <w:numFmt w:val="decimal"/>
      <w:lvlText w:val="%1"/>
      <w:lvlJc w:val="left"/>
      <w:pPr>
        <w:tabs>
          <w:tab w:val="num" w:pos="720"/>
        </w:tabs>
        <w:ind w:left="720" w:hanging="720"/>
      </w:pPr>
      <w:rPr>
        <w:rFonts w:hint="default"/>
      </w:rPr>
    </w:lvl>
  </w:abstractNum>
  <w:num w:numId="1">
    <w:abstractNumId w:val="5"/>
  </w:num>
  <w:num w:numId="2">
    <w:abstractNumId w:val="0"/>
  </w:num>
  <w:num w:numId="3">
    <w:abstractNumId w:val="4"/>
  </w:num>
  <w:num w:numId="4">
    <w:abstractNumId w:val="1"/>
  </w:num>
  <w:num w:numId="5">
    <w:abstractNumId w:val="5"/>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4F"/>
    <w:rsid w:val="0001436F"/>
    <w:rsid w:val="000248CB"/>
    <w:rsid w:val="0002517C"/>
    <w:rsid w:val="00060A29"/>
    <w:rsid w:val="000A3A7E"/>
    <w:rsid w:val="000B5D6C"/>
    <w:rsid w:val="001202A9"/>
    <w:rsid w:val="00140EA8"/>
    <w:rsid w:val="0014453F"/>
    <w:rsid w:val="00146E6F"/>
    <w:rsid w:val="001A660C"/>
    <w:rsid w:val="001B1668"/>
    <w:rsid w:val="001C21DF"/>
    <w:rsid w:val="001F0DB5"/>
    <w:rsid w:val="00217391"/>
    <w:rsid w:val="002226B5"/>
    <w:rsid w:val="00250817"/>
    <w:rsid w:val="00253ACF"/>
    <w:rsid w:val="00291694"/>
    <w:rsid w:val="002C425B"/>
    <w:rsid w:val="002E5CD3"/>
    <w:rsid w:val="002F653D"/>
    <w:rsid w:val="00301600"/>
    <w:rsid w:val="003169CE"/>
    <w:rsid w:val="00326B1F"/>
    <w:rsid w:val="00351F16"/>
    <w:rsid w:val="003974DF"/>
    <w:rsid w:val="003A1C3F"/>
    <w:rsid w:val="003A22F2"/>
    <w:rsid w:val="003A6D8A"/>
    <w:rsid w:val="003C5650"/>
    <w:rsid w:val="003E1CAA"/>
    <w:rsid w:val="0040274D"/>
    <w:rsid w:val="00435211"/>
    <w:rsid w:val="00462A55"/>
    <w:rsid w:val="00464F36"/>
    <w:rsid w:val="00483339"/>
    <w:rsid w:val="00492491"/>
    <w:rsid w:val="004A367E"/>
    <w:rsid w:val="004C7CB2"/>
    <w:rsid w:val="004D3CF0"/>
    <w:rsid w:val="00507404"/>
    <w:rsid w:val="005103A9"/>
    <w:rsid w:val="00550BF8"/>
    <w:rsid w:val="005A0CCD"/>
    <w:rsid w:val="005A234C"/>
    <w:rsid w:val="005D78F4"/>
    <w:rsid w:val="006A1B07"/>
    <w:rsid w:val="006A2D3F"/>
    <w:rsid w:val="00786AAA"/>
    <w:rsid w:val="00794BD0"/>
    <w:rsid w:val="007F3398"/>
    <w:rsid w:val="00823466"/>
    <w:rsid w:val="008336BA"/>
    <w:rsid w:val="0083437D"/>
    <w:rsid w:val="008630FD"/>
    <w:rsid w:val="008952A1"/>
    <w:rsid w:val="008F1336"/>
    <w:rsid w:val="00977054"/>
    <w:rsid w:val="00985BCF"/>
    <w:rsid w:val="009910A6"/>
    <w:rsid w:val="009A63CA"/>
    <w:rsid w:val="009D594E"/>
    <w:rsid w:val="009F5E9A"/>
    <w:rsid w:val="00A40C8C"/>
    <w:rsid w:val="00A4457A"/>
    <w:rsid w:val="00AB419D"/>
    <w:rsid w:val="00AE2E7D"/>
    <w:rsid w:val="00AF50F7"/>
    <w:rsid w:val="00B107F6"/>
    <w:rsid w:val="00B14189"/>
    <w:rsid w:val="00B908E6"/>
    <w:rsid w:val="00B91856"/>
    <w:rsid w:val="00BF265E"/>
    <w:rsid w:val="00C239DC"/>
    <w:rsid w:val="00C403EA"/>
    <w:rsid w:val="00C47796"/>
    <w:rsid w:val="00CB2BD1"/>
    <w:rsid w:val="00CD682C"/>
    <w:rsid w:val="00D15FF8"/>
    <w:rsid w:val="00D217F8"/>
    <w:rsid w:val="00DA1A55"/>
    <w:rsid w:val="00DA2FAB"/>
    <w:rsid w:val="00DD4CFB"/>
    <w:rsid w:val="00E03C24"/>
    <w:rsid w:val="00E4041E"/>
    <w:rsid w:val="00E97D6B"/>
    <w:rsid w:val="00EC0240"/>
    <w:rsid w:val="00EC7C96"/>
    <w:rsid w:val="00EE6D6C"/>
    <w:rsid w:val="00F150A9"/>
    <w:rsid w:val="00F460B4"/>
    <w:rsid w:val="00F632D1"/>
    <w:rsid w:val="00F65A63"/>
    <w:rsid w:val="00F90E94"/>
    <w:rsid w:val="00FA66B1"/>
    <w:rsid w:val="00FB5A3C"/>
    <w:rsid w:val="00FF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C860E0-704F-40BE-AD26-0010FF9C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cs="Arial"/>
      <w:sz w:val="24"/>
    </w:rPr>
  </w:style>
  <w:style w:type="paragraph" w:styleId="Header">
    <w:name w:val="header"/>
    <w:basedOn w:val="Normal"/>
    <w:rsid w:val="000248CB"/>
    <w:pPr>
      <w:tabs>
        <w:tab w:val="center" w:pos="4320"/>
        <w:tab w:val="right" w:pos="8640"/>
      </w:tabs>
    </w:pPr>
  </w:style>
  <w:style w:type="paragraph" w:styleId="Footer">
    <w:name w:val="footer"/>
    <w:basedOn w:val="Normal"/>
    <w:rsid w:val="000248CB"/>
    <w:pPr>
      <w:tabs>
        <w:tab w:val="center" w:pos="4320"/>
        <w:tab w:val="right" w:pos="8640"/>
      </w:tabs>
    </w:pPr>
  </w:style>
  <w:style w:type="paragraph" w:styleId="BalloonText">
    <w:name w:val="Balloon Text"/>
    <w:basedOn w:val="Normal"/>
    <w:semiHidden/>
    <w:rsid w:val="00DD4CFB"/>
    <w:rPr>
      <w:rFonts w:ascii="Tahoma" w:hAnsi="Tahoma" w:cs="Tahoma"/>
      <w:sz w:val="16"/>
      <w:szCs w:val="16"/>
    </w:rPr>
  </w:style>
  <w:style w:type="paragraph" w:styleId="ListParagraph">
    <w:name w:val="List Paragraph"/>
    <w:basedOn w:val="Normal"/>
    <w:uiPriority w:val="34"/>
    <w:qFormat/>
    <w:rsid w:val="00507404"/>
    <w:pPr>
      <w:spacing w:after="160" w:line="259" w:lineRule="auto"/>
      <w:ind w:left="720"/>
      <w:contextualSpacing/>
    </w:pPr>
    <w:rPr>
      <w:rFonts w:ascii="Calibri" w:eastAsia="DengXian" w:hAnsi="Calibri"/>
      <w:szCs w:val="22"/>
      <w:lang w:val="en-SG" w:eastAsia="zh-CN"/>
    </w:rPr>
  </w:style>
  <w:style w:type="paragraph" w:styleId="BodyText">
    <w:name w:val="Body Text"/>
    <w:basedOn w:val="Normal"/>
    <w:link w:val="BodyTextChar"/>
    <w:rsid w:val="00AB419D"/>
    <w:pPr>
      <w:spacing w:after="120"/>
    </w:pPr>
  </w:style>
  <w:style w:type="character" w:customStyle="1" w:styleId="BodyTextChar">
    <w:name w:val="Body Text Char"/>
    <w:link w:val="BodyText"/>
    <w:rsid w:val="00AB419D"/>
    <w:rPr>
      <w:rFonts w:ascii="Arial" w:hAnsi="Arial"/>
      <w:sz w:val="22"/>
      <w:lang w:val="en-US" w:eastAsia="en-US"/>
    </w:rPr>
  </w:style>
  <w:style w:type="paragraph" w:styleId="PlainText">
    <w:name w:val="Plain Text"/>
    <w:basedOn w:val="Normal"/>
    <w:link w:val="PlainTextChar"/>
    <w:uiPriority w:val="99"/>
    <w:unhideWhenUsed/>
    <w:rsid w:val="00AB419D"/>
    <w:rPr>
      <w:rFonts w:ascii="Consolas" w:eastAsia="DengXian" w:hAnsi="Consolas"/>
      <w:sz w:val="20"/>
      <w:lang w:val="en-SG" w:eastAsia="zh-CN"/>
    </w:rPr>
  </w:style>
  <w:style w:type="character" w:customStyle="1" w:styleId="PlainTextChar">
    <w:name w:val="Plain Text Char"/>
    <w:link w:val="PlainText"/>
    <w:uiPriority w:val="99"/>
    <w:rsid w:val="00AB419D"/>
    <w:rPr>
      <w:rFonts w:ascii="Consolas" w:eastAsia="DengXian" w:hAnsi="Consolas"/>
    </w:rPr>
  </w:style>
  <w:style w:type="character" w:styleId="CommentReference">
    <w:name w:val="annotation reference"/>
    <w:rsid w:val="001A660C"/>
    <w:rPr>
      <w:sz w:val="16"/>
      <w:szCs w:val="16"/>
    </w:rPr>
  </w:style>
  <w:style w:type="paragraph" w:styleId="CommentText">
    <w:name w:val="annotation text"/>
    <w:basedOn w:val="Normal"/>
    <w:link w:val="CommentTextChar"/>
    <w:rsid w:val="001A660C"/>
    <w:rPr>
      <w:sz w:val="20"/>
    </w:rPr>
  </w:style>
  <w:style w:type="character" w:customStyle="1" w:styleId="CommentTextChar">
    <w:name w:val="Comment Text Char"/>
    <w:link w:val="CommentText"/>
    <w:rsid w:val="001A660C"/>
    <w:rPr>
      <w:rFonts w:ascii="Arial" w:hAnsi="Arial"/>
      <w:lang w:val="en-US" w:eastAsia="en-US"/>
    </w:rPr>
  </w:style>
  <w:style w:type="paragraph" w:styleId="CommentSubject">
    <w:name w:val="annotation subject"/>
    <w:basedOn w:val="CommentText"/>
    <w:next w:val="CommentText"/>
    <w:link w:val="CommentSubjectChar"/>
    <w:rsid w:val="001A660C"/>
    <w:rPr>
      <w:b/>
      <w:bCs/>
    </w:rPr>
  </w:style>
  <w:style w:type="character" w:customStyle="1" w:styleId="CommentSubjectChar">
    <w:name w:val="Comment Subject Char"/>
    <w:link w:val="CommentSubject"/>
    <w:rsid w:val="001A660C"/>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A2FA038C2634FB31514E905A94ED9" ma:contentTypeVersion="1" ma:contentTypeDescription="Create a new document." ma:contentTypeScope="" ma:versionID="727b3a49c1977d5784697035fdb75fde">
  <xsd:schema xmlns:xsd="http://www.w3.org/2001/XMLSchema" xmlns:xs="http://www.w3.org/2001/XMLSchema" xmlns:p="http://schemas.microsoft.com/office/2006/metadata/properties" xmlns:ns2="3ce2aa4a-6632-46b4-9019-be93f55e721b" targetNamespace="http://schemas.microsoft.com/office/2006/metadata/properties" ma:root="true" ma:fieldsID="fff6e688e30ac577c2e0f38f920ad110" ns2:_="">
    <xsd:import namespace="3ce2aa4a-6632-46b4-9019-be93f55e7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2aa4a-6632-46b4-9019-be93f55e7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5883F-155F-4A23-80C4-5E0325E08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2aa4a-6632-46b4-9019-be93f55e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CD443-A3EB-450F-8CF9-D2EC2517B98F}">
  <ds:schemaRefs>
    <ds:schemaRef ds:uri="http://schemas.microsoft.com/sharepoint/v3/contenttype/forms"/>
  </ds:schemaRefs>
</ds:datastoreItem>
</file>

<file path=customXml/itemProps3.xml><?xml version="1.0" encoding="utf-8"?>
<ds:datastoreItem xmlns:ds="http://schemas.openxmlformats.org/officeDocument/2006/customXml" ds:itemID="{57C8DE8E-7662-467E-8362-52251755C51D}">
  <ds:schemaRefs>
    <ds:schemaRef ds:uri="http://schemas.microsoft.com/sharepoint/events"/>
  </ds:schemaRefs>
</ds:datastoreItem>
</file>

<file path=customXml/itemProps4.xml><?xml version="1.0" encoding="utf-8"?>
<ds:datastoreItem xmlns:ds="http://schemas.openxmlformats.org/officeDocument/2006/customXml" ds:itemID="{13F8D5B6-4171-4C82-BBEE-2BFC42648E2D}">
  <ds:schemaRefs>
    <ds:schemaRef ds:uri="http://schemas.microsoft.com/office/2006/metadata/longProperties"/>
  </ds:schemaRefs>
</ds:datastoreItem>
</file>

<file path=customXml/itemProps5.xml><?xml version="1.0" encoding="utf-8"?>
<ds:datastoreItem xmlns:ds="http://schemas.openxmlformats.org/officeDocument/2006/customXml" ds:itemID="{1432C799-48BB-4F58-BFD7-008B33214B9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922134A-0469-47DC-B71F-07FBAEE9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ADVERTISING FOR CLINICAL TRIAL SUBJECTS</vt:lpstr>
    </vt:vector>
  </TitlesOfParts>
  <Company>singov</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FOR CLINICAL TRIAL SUBJECTS</dc:title>
  <dc:subject/>
  <dc:creator>singov</dc:creator>
  <cp:keywords/>
  <cp:lastModifiedBy>Loo Bee Bee</cp:lastModifiedBy>
  <cp:revision>2</cp:revision>
  <cp:lastPrinted>2016-10-05T02:52:00Z</cp:lastPrinted>
  <dcterms:created xsi:type="dcterms:W3CDTF">2020-07-09T02:31:00Z</dcterms:created>
  <dcterms:modified xsi:type="dcterms:W3CDTF">2020-07-09T02:31:00Z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KWWH6HTQ7N2Q-2-80</vt:lpwstr>
  </property>
  <property fmtid="{D5CDD505-2E9C-101B-9397-08002B2CF9AE}" pid="3" name="_dlc_DocIdItemGuid">
    <vt:lpwstr>84f44ee3-0348-4e2a-bd42-05f0c8227b39</vt:lpwstr>
  </property>
  <property fmtid="{D5CDD505-2E9C-101B-9397-08002B2CF9AE}" pid="4" name="_dlc_DocIdUrl">
    <vt:lpwstr>https://share.nus.edu.sg/irb/_layouts/DocIdRedir.aspx?ID=KWWH6HTQ7N2Q-2-80, KWWH6HTQ7N2Q-2-80</vt:lpwstr>
  </property>
</Properties>
</file>